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9FD0" w14:textId="54093DCF" w:rsidR="00D409B1" w:rsidRDefault="00D409B1" w:rsidP="00D409B1">
      <w:pPr>
        <w:jc w:val="both"/>
        <w:rPr>
          <w:rFonts w:ascii="Century Gothic" w:hAnsi="Century Gothic"/>
        </w:rPr>
      </w:pPr>
      <w:r w:rsidRPr="001C3947">
        <w:rPr>
          <w:rFonts w:ascii="Century Gothic" w:hAnsi="Century Gothic"/>
          <w:b/>
          <w:highlight w:val="lightGray"/>
          <w:u w:val="single"/>
        </w:rPr>
        <w:t>Text do zadávací dokumentace, kdy předmětem plnění má být mimo</w:t>
      </w:r>
      <w:r w:rsidR="00E4426F" w:rsidRPr="001C3947">
        <w:rPr>
          <w:rFonts w:ascii="Century Gothic" w:hAnsi="Century Gothic"/>
          <w:b/>
          <w:highlight w:val="lightGray"/>
          <w:u w:val="single"/>
        </w:rPr>
        <w:t xml:space="preserve"> jiné</w:t>
      </w:r>
      <w:r w:rsidRPr="001C3947">
        <w:rPr>
          <w:rFonts w:ascii="Century Gothic" w:hAnsi="Century Gothic"/>
          <w:b/>
          <w:highlight w:val="lightGray"/>
          <w:u w:val="single"/>
        </w:rPr>
        <w:t xml:space="preserve"> taktéž zajištění podkladů ke kolaudaci stavby (~provádění stavebních prací):</w:t>
      </w:r>
    </w:p>
    <w:p w14:paraId="5CD9D630" w14:textId="77777777" w:rsidR="00D409B1" w:rsidRPr="00E4426F" w:rsidRDefault="00D409B1" w:rsidP="00014708">
      <w:pPr>
        <w:pStyle w:val="Odstavecseseznamem"/>
        <w:numPr>
          <w:ilvl w:val="0"/>
          <w:numId w:val="2"/>
        </w:numPr>
        <w:ind w:left="426"/>
        <w:jc w:val="both"/>
        <w:rPr>
          <w:rFonts w:ascii="Century Gothic" w:hAnsi="Century Gothic"/>
          <w:i/>
          <w:iCs/>
        </w:rPr>
      </w:pPr>
      <w:r w:rsidRPr="00E4426F">
        <w:rPr>
          <w:rFonts w:ascii="Century Gothic" w:hAnsi="Century Gothic"/>
          <w:i/>
          <w:iCs/>
        </w:rPr>
        <w:t>Pokud v rámci realizace díla budou vznikat a/nebo se budou měnit a/nebo zanikat objekty, které jsou obsahem digitální technické mapy dle přílohy č. 1 vyhlášky č. 393/2020 Sb., o</w:t>
      </w:r>
      <w:r w:rsidR="00074BCF" w:rsidRPr="00E4426F">
        <w:rPr>
          <w:rFonts w:ascii="Century Gothic" w:hAnsi="Century Gothic"/>
          <w:i/>
          <w:iCs/>
        </w:rPr>
        <w:t xml:space="preserve"> digitální technické mapě kraje</w:t>
      </w:r>
      <w:r w:rsidRPr="00E4426F">
        <w:rPr>
          <w:rFonts w:ascii="Century Gothic" w:hAnsi="Century Gothic"/>
          <w:i/>
          <w:iCs/>
        </w:rPr>
        <w:t>, bude součástí realizace zakázky vyhotovení podkladů pro vedení digitální technické mapy</w:t>
      </w:r>
      <w:r w:rsidR="00E76830" w:rsidRPr="00E4426F">
        <w:rPr>
          <w:i/>
          <w:iCs/>
        </w:rPr>
        <w:t xml:space="preserve"> </w:t>
      </w:r>
      <w:r w:rsidR="00E76830" w:rsidRPr="00E4426F">
        <w:rPr>
          <w:rFonts w:ascii="Century Gothic" w:hAnsi="Century Gothic"/>
          <w:i/>
          <w:iCs/>
        </w:rPr>
        <w:t>podle § 5 vyhlášky</w:t>
      </w:r>
      <w:r w:rsidRPr="00E4426F">
        <w:rPr>
          <w:rFonts w:ascii="Century Gothic" w:hAnsi="Century Gothic"/>
          <w:i/>
          <w:iCs/>
        </w:rPr>
        <w:t>, kterými jsou geodetická část dokumentace skutečného provedení stavby nebo geodetický podklad pro vedení digitální technické mapy v případě, že geodetická část skutečného provedení stavby se nebude vyhotovovat.</w:t>
      </w:r>
    </w:p>
    <w:p w14:paraId="2BFAD14C" w14:textId="77777777" w:rsidR="00E76830" w:rsidRPr="00E4426F" w:rsidRDefault="00E76830" w:rsidP="00014708">
      <w:pPr>
        <w:pStyle w:val="Odstavecseseznamem"/>
        <w:numPr>
          <w:ilvl w:val="0"/>
          <w:numId w:val="2"/>
        </w:numPr>
        <w:spacing w:before="120" w:after="120" w:line="240" w:lineRule="auto"/>
        <w:ind w:left="426"/>
        <w:contextualSpacing w:val="0"/>
        <w:jc w:val="both"/>
        <w:rPr>
          <w:rFonts w:ascii="Century Gothic" w:hAnsi="Century Gothic"/>
          <w:i/>
          <w:iCs/>
          <w:lang w:eastAsia="cs-CZ"/>
        </w:rPr>
      </w:pPr>
      <w:r w:rsidRPr="00E4426F">
        <w:rPr>
          <w:rFonts w:ascii="Century Gothic" w:hAnsi="Century Gothic"/>
          <w:i/>
          <w:iCs/>
          <w:lang w:eastAsia="cs-CZ"/>
        </w:rPr>
        <w:t>Rozsah zpracování podkladu pro vedení digitální technické mapy se řídí projektovou dokumentací, v níž je uvedena doporučená varianta rozsahu zpracování (v rozsahu prováděných změn/úplný rozsah)</w:t>
      </w:r>
      <w:r w:rsidR="00835C95" w:rsidRPr="00E4426F">
        <w:rPr>
          <w:rFonts w:ascii="Century Gothic" w:hAnsi="Century Gothic"/>
          <w:i/>
          <w:iCs/>
          <w:lang w:eastAsia="cs-CZ"/>
        </w:rPr>
        <w:t>.</w:t>
      </w:r>
    </w:p>
    <w:p w14:paraId="503C0CA0" w14:textId="14EF9DCD" w:rsidR="00D409B1" w:rsidRPr="00E4426F" w:rsidRDefault="00D409B1" w:rsidP="00D409B1">
      <w:pPr>
        <w:jc w:val="both"/>
        <w:rPr>
          <w:rFonts w:ascii="Century Gothic" w:hAnsi="Century Gothic"/>
          <w:b/>
          <w:bCs/>
          <w:u w:val="single"/>
        </w:rPr>
      </w:pPr>
      <w:r w:rsidRPr="001C3947">
        <w:rPr>
          <w:rFonts w:ascii="Century Gothic" w:hAnsi="Century Gothic"/>
          <w:b/>
          <w:bCs/>
          <w:highlight w:val="lightGray"/>
          <w:u w:val="single"/>
        </w:rPr>
        <w:t>Text do smlouvy</w:t>
      </w:r>
      <w:r w:rsidR="00E4426F" w:rsidRPr="001C3947">
        <w:rPr>
          <w:rFonts w:ascii="Century Gothic" w:hAnsi="Century Gothic"/>
          <w:b/>
          <w:bCs/>
          <w:highlight w:val="lightGray"/>
          <w:u w:val="single"/>
        </w:rPr>
        <w:t xml:space="preserve"> na stavební práce</w:t>
      </w:r>
      <w:r w:rsidRPr="001C3947">
        <w:rPr>
          <w:rFonts w:ascii="Century Gothic" w:hAnsi="Century Gothic"/>
          <w:b/>
          <w:bCs/>
          <w:highlight w:val="lightGray"/>
          <w:u w:val="single"/>
        </w:rPr>
        <w:t>:</w:t>
      </w:r>
    </w:p>
    <w:p w14:paraId="2ABD42EC" w14:textId="77777777" w:rsidR="00D409B1" w:rsidRPr="00E4426F" w:rsidRDefault="00D409B1" w:rsidP="00014708">
      <w:pPr>
        <w:pStyle w:val="Odstavecseseznamem"/>
        <w:numPr>
          <w:ilvl w:val="0"/>
          <w:numId w:val="4"/>
        </w:numPr>
        <w:spacing w:before="120" w:after="120" w:line="240" w:lineRule="auto"/>
        <w:ind w:left="426"/>
        <w:contextualSpacing w:val="0"/>
        <w:jc w:val="both"/>
        <w:rPr>
          <w:rFonts w:ascii="Century Gothic" w:hAnsi="Century Gothic"/>
          <w:i/>
          <w:iCs/>
        </w:rPr>
      </w:pPr>
      <w:r w:rsidRPr="00E4426F">
        <w:rPr>
          <w:rFonts w:ascii="Century Gothic" w:hAnsi="Century Gothic"/>
          <w:i/>
          <w:iCs/>
        </w:rPr>
        <w:t>Součástí zakázky je vyhotovení podkladů pro vedení digitální technické mapy</w:t>
      </w:r>
      <w:r w:rsidR="00D2799D" w:rsidRPr="00E4426F">
        <w:rPr>
          <w:rFonts w:ascii="Century Gothic" w:hAnsi="Century Gothic"/>
          <w:i/>
          <w:iCs/>
        </w:rPr>
        <w:t xml:space="preserve"> podle § 5 vyhlášky č. 393/2020 Sb., o digitální technické mapě kraje</w:t>
      </w:r>
      <w:r w:rsidRPr="00E4426F">
        <w:rPr>
          <w:rFonts w:ascii="Century Gothic" w:hAnsi="Century Gothic"/>
          <w:i/>
          <w:iCs/>
        </w:rPr>
        <w:t>, kterými jsou geodetická část dokumentace skutečného provedení stavby nebo geodetický podklad pro vedení digitální technické mapy v případě, že geodetická část skutečného provedení stavby se nebude vyhotovovat,</w:t>
      </w:r>
    </w:p>
    <w:p w14:paraId="39BD27AF" w14:textId="77777777" w:rsidR="008C1573" w:rsidRPr="00E4426F" w:rsidRDefault="008C1573" w:rsidP="00014708">
      <w:pPr>
        <w:pStyle w:val="Odstavecseseznamem"/>
        <w:numPr>
          <w:ilvl w:val="0"/>
          <w:numId w:val="4"/>
        </w:numPr>
        <w:spacing w:before="120" w:after="120" w:line="240" w:lineRule="auto"/>
        <w:ind w:left="426"/>
        <w:contextualSpacing w:val="0"/>
        <w:jc w:val="both"/>
        <w:rPr>
          <w:rFonts w:ascii="Century Gothic" w:hAnsi="Century Gothic"/>
          <w:i/>
          <w:iCs/>
        </w:rPr>
      </w:pPr>
      <w:r w:rsidRPr="00E4426F">
        <w:rPr>
          <w:rFonts w:ascii="Century Gothic" w:hAnsi="Century Gothic"/>
          <w:i/>
          <w:iCs/>
        </w:rPr>
        <w:t>a předání podkladu pro vedení digitální technické mapy, do Informačního systému digitální technické mapy Ústeckého kraje (IS DTM), jehož správcem a provozovatelem je Krajský úřad Ústeckého kraje, prostřednictvím Informačního systému Digitální mapy veřejné správy (IS DMVS), jehož správcem je Český úřad zeměměřický a katastrální. V případě nefunkčnosti Informačního systému Digitální mapy veřejné správy z důvodu jeho nespuštění do běžného (plného) provozu, budou údaje předány pouze prostřednictvím Informačního systému Digitální technické mapy Ústeckého kraje. Předání údajů a obsahové náležitosti podkladu pro vedení digitální technické mapy stanovuje vyhláška</w:t>
      </w:r>
      <w:r w:rsidRPr="00E4426F">
        <w:rPr>
          <w:i/>
          <w:iCs/>
        </w:rPr>
        <w:t xml:space="preserve"> </w:t>
      </w:r>
      <w:r w:rsidRPr="00E4426F">
        <w:rPr>
          <w:rFonts w:ascii="Century Gothic" w:hAnsi="Century Gothic"/>
          <w:i/>
          <w:iCs/>
        </w:rPr>
        <w:t>č. 393/2020 Sb., o digitální technické mapě kraje.</w:t>
      </w:r>
    </w:p>
    <w:p w14:paraId="28A83726" w14:textId="3A778626" w:rsidR="008C1573" w:rsidRPr="00E4426F" w:rsidRDefault="008C1573" w:rsidP="00014708">
      <w:pPr>
        <w:pStyle w:val="Odstavecseseznamem"/>
        <w:numPr>
          <w:ilvl w:val="0"/>
          <w:numId w:val="4"/>
        </w:numPr>
        <w:spacing w:before="120" w:after="120" w:line="240" w:lineRule="auto"/>
        <w:ind w:left="426"/>
        <w:contextualSpacing w:val="0"/>
        <w:jc w:val="both"/>
        <w:rPr>
          <w:rFonts w:ascii="Century Gothic" w:hAnsi="Century Gothic"/>
          <w:i/>
          <w:iCs/>
          <w:lang w:eastAsia="cs-CZ"/>
        </w:rPr>
      </w:pPr>
      <w:r w:rsidRPr="00E4426F">
        <w:rPr>
          <w:rFonts w:ascii="Century Gothic" w:hAnsi="Century Gothic"/>
          <w:i/>
          <w:iCs/>
          <w:lang w:eastAsia="cs-CZ"/>
        </w:rPr>
        <w:t>Rozsah zpracování podkladu pro vedení digitální technické mapy</w:t>
      </w:r>
      <w:r w:rsidR="00BF68C7" w:rsidRPr="00E4426F">
        <w:rPr>
          <w:rFonts w:ascii="Century Gothic" w:hAnsi="Century Gothic"/>
          <w:i/>
          <w:iCs/>
          <w:lang w:eastAsia="cs-CZ"/>
        </w:rPr>
        <w:t xml:space="preserve"> podle odstavce 1)</w:t>
      </w:r>
      <w:r w:rsidRPr="00E4426F">
        <w:rPr>
          <w:rFonts w:ascii="Century Gothic" w:hAnsi="Century Gothic"/>
          <w:i/>
          <w:iCs/>
          <w:lang w:eastAsia="cs-CZ"/>
        </w:rPr>
        <w:t xml:space="preserve"> se řídí </w:t>
      </w:r>
      <w:r w:rsidR="00835C95" w:rsidRPr="00E4426F">
        <w:rPr>
          <w:rFonts w:ascii="Century Gothic" w:hAnsi="Century Gothic"/>
          <w:i/>
          <w:iCs/>
          <w:lang w:eastAsia="cs-CZ"/>
        </w:rPr>
        <w:t xml:space="preserve">doporučenou variantou uvedenou v </w:t>
      </w:r>
      <w:r w:rsidRPr="00E4426F">
        <w:rPr>
          <w:rFonts w:ascii="Century Gothic" w:hAnsi="Century Gothic"/>
          <w:i/>
          <w:iCs/>
          <w:lang w:eastAsia="cs-CZ"/>
        </w:rPr>
        <w:t>projektov</w:t>
      </w:r>
      <w:r w:rsidR="00835C95" w:rsidRPr="00E4426F">
        <w:rPr>
          <w:rFonts w:ascii="Century Gothic" w:hAnsi="Century Gothic"/>
          <w:i/>
          <w:iCs/>
          <w:lang w:eastAsia="cs-CZ"/>
        </w:rPr>
        <w:t>é dokumentaci</w:t>
      </w:r>
      <w:r w:rsidR="006966E0">
        <w:rPr>
          <w:rFonts w:ascii="Century Gothic" w:hAnsi="Century Gothic"/>
          <w:i/>
          <w:iCs/>
          <w:lang w:eastAsia="cs-CZ"/>
        </w:rPr>
        <w:t xml:space="preserve"> (pokud je zpracována)</w:t>
      </w:r>
      <w:r w:rsidR="007431B9" w:rsidRPr="00E4426F">
        <w:rPr>
          <w:rFonts w:ascii="Century Gothic" w:hAnsi="Century Gothic"/>
          <w:i/>
          <w:iCs/>
          <w:lang w:eastAsia="cs-CZ"/>
        </w:rPr>
        <w:t>.</w:t>
      </w:r>
    </w:p>
    <w:p w14:paraId="585866B9" w14:textId="77777777" w:rsidR="00D409B1" w:rsidRPr="00E4426F" w:rsidRDefault="00D409B1" w:rsidP="00014708">
      <w:pPr>
        <w:pStyle w:val="Odstavecseseznamem"/>
        <w:numPr>
          <w:ilvl w:val="0"/>
          <w:numId w:val="4"/>
        </w:numPr>
        <w:spacing w:before="120" w:after="120" w:line="240" w:lineRule="auto"/>
        <w:ind w:left="426"/>
        <w:contextualSpacing w:val="0"/>
        <w:jc w:val="both"/>
        <w:rPr>
          <w:rFonts w:ascii="Century Gothic" w:hAnsi="Century Gothic"/>
          <w:i/>
          <w:iCs/>
          <w:lang w:eastAsia="cs-CZ"/>
        </w:rPr>
      </w:pPr>
      <w:r w:rsidRPr="00E4426F">
        <w:rPr>
          <w:rFonts w:ascii="Century Gothic" w:hAnsi="Century Gothic"/>
          <w:i/>
          <w:iCs/>
          <w:lang w:eastAsia="cs-CZ"/>
        </w:rPr>
        <w:t xml:space="preserve">Předání údajů do IS DTM </w:t>
      </w:r>
      <w:r w:rsidR="00BF68C7" w:rsidRPr="00E4426F">
        <w:rPr>
          <w:rFonts w:ascii="Century Gothic" w:hAnsi="Century Gothic"/>
          <w:i/>
          <w:iCs/>
          <w:lang w:eastAsia="cs-CZ"/>
        </w:rPr>
        <w:t xml:space="preserve">podle odstavce 2) </w:t>
      </w:r>
      <w:r w:rsidRPr="00E4426F">
        <w:rPr>
          <w:rFonts w:ascii="Century Gothic" w:hAnsi="Century Gothic"/>
          <w:i/>
          <w:iCs/>
          <w:lang w:eastAsia="cs-CZ"/>
        </w:rPr>
        <w:t>bude před dokončením díla doloženo protokolem o zapracování dat do digitální technické mapy kraje, který vystaví IS DMVS, popřípadě písemným potvrzením od Krajského úřadu Ústeckého kraje.</w:t>
      </w:r>
    </w:p>
    <w:p w14:paraId="5269B0B5" w14:textId="77777777" w:rsidR="00D409B1" w:rsidRPr="00E4426F" w:rsidRDefault="00D409B1" w:rsidP="00014708">
      <w:pPr>
        <w:pStyle w:val="Odstavecseseznamem"/>
        <w:numPr>
          <w:ilvl w:val="0"/>
          <w:numId w:val="4"/>
        </w:numPr>
        <w:spacing w:before="120" w:after="120" w:line="240" w:lineRule="auto"/>
        <w:ind w:left="426"/>
        <w:contextualSpacing w:val="0"/>
        <w:jc w:val="both"/>
        <w:rPr>
          <w:rFonts w:ascii="Century Gothic" w:hAnsi="Century Gothic"/>
          <w:i/>
          <w:iCs/>
          <w:lang w:eastAsia="cs-CZ"/>
        </w:rPr>
      </w:pPr>
      <w:r w:rsidRPr="00E4426F">
        <w:rPr>
          <w:rFonts w:ascii="Century Gothic" w:hAnsi="Century Gothic"/>
          <w:i/>
          <w:iCs/>
          <w:lang w:eastAsia="cs-CZ"/>
        </w:rPr>
        <w:t>Geodetický podklad pro vedení digitální technické mapy a geodetická část dokumentace skutečného provedení stavby, budou vyhotoveny na podkladě stávajících údajů digitální technické mapy, které si zpracovatel vyžádá prostřednictvím IS DMVS, popř. IS DTM. Při využití stávajících údajů digitální technické mapy se posoudí návaznost výsledku zaměření nového stavu na dosavadní stav. Informace o výsledku posouzení bude součástí technické zprávy. Podrobnosti obsahu geodetického podkladu pro vedení digitální technické mapy jsou stanoveny v příloze č. 4 vyhlášky č. 393/2020 Sb., o digitální technické mapě kraje.</w:t>
      </w:r>
    </w:p>
    <w:p w14:paraId="3BACE001" w14:textId="48B9EE17" w:rsidR="00D409B1" w:rsidRPr="00E4426F" w:rsidRDefault="00D409B1" w:rsidP="00014708">
      <w:pPr>
        <w:pStyle w:val="Odstavecseseznamem"/>
        <w:numPr>
          <w:ilvl w:val="0"/>
          <w:numId w:val="4"/>
        </w:numPr>
        <w:spacing w:before="120" w:after="120" w:line="240" w:lineRule="auto"/>
        <w:ind w:left="426"/>
        <w:contextualSpacing w:val="0"/>
        <w:jc w:val="both"/>
        <w:rPr>
          <w:rFonts w:ascii="Century Gothic" w:hAnsi="Century Gothic"/>
          <w:i/>
          <w:iCs/>
          <w:lang w:eastAsia="cs-CZ"/>
        </w:rPr>
      </w:pPr>
      <w:r w:rsidRPr="00E4426F">
        <w:rPr>
          <w:rFonts w:ascii="Century Gothic" w:hAnsi="Century Gothic"/>
          <w:i/>
          <w:iCs/>
          <w:lang w:eastAsia="cs-CZ"/>
        </w:rPr>
        <w:t>Pro potřeby předání údajů do IS DTM bude vyhotoven digitální soubor ve výměnném formátu digitální technické mapy („JVF DTM“)</w:t>
      </w:r>
      <w:r w:rsidR="00D0541F" w:rsidRPr="00E4426F">
        <w:rPr>
          <w:rFonts w:ascii="Century Gothic" w:hAnsi="Century Gothic"/>
          <w:i/>
          <w:iCs/>
          <w:lang w:eastAsia="cs-CZ"/>
        </w:rPr>
        <w:t>, a to vždy v poslední platné verzi</w:t>
      </w:r>
      <w:r w:rsidRPr="00E4426F">
        <w:rPr>
          <w:rFonts w:ascii="Century Gothic" w:hAnsi="Century Gothic"/>
          <w:i/>
          <w:iCs/>
          <w:lang w:eastAsia="cs-CZ"/>
        </w:rPr>
        <w:t xml:space="preserve">. Technickou specifikaci JVF DTM zveřejnuje </w:t>
      </w:r>
      <w:r w:rsidR="00B571A6" w:rsidRPr="00E4426F">
        <w:rPr>
          <w:rFonts w:ascii="Century Gothic" w:hAnsi="Century Gothic"/>
          <w:i/>
          <w:iCs/>
          <w:lang w:eastAsia="cs-CZ"/>
        </w:rPr>
        <w:t>Český úřad zeměměřic</w:t>
      </w:r>
      <w:r w:rsidRPr="00E4426F">
        <w:rPr>
          <w:rFonts w:ascii="Century Gothic" w:hAnsi="Century Gothic"/>
          <w:i/>
          <w:iCs/>
          <w:lang w:eastAsia="cs-CZ"/>
        </w:rPr>
        <w:t>ký a katastrální.</w:t>
      </w:r>
    </w:p>
    <w:p w14:paraId="721A4E71" w14:textId="77777777" w:rsidR="00D409B1" w:rsidRPr="00E4426F" w:rsidRDefault="00D409B1" w:rsidP="00014708">
      <w:pPr>
        <w:pStyle w:val="Odstavecseseznamem"/>
        <w:numPr>
          <w:ilvl w:val="0"/>
          <w:numId w:val="4"/>
        </w:numPr>
        <w:spacing w:before="120" w:after="120" w:line="240" w:lineRule="auto"/>
        <w:ind w:left="426"/>
        <w:contextualSpacing w:val="0"/>
        <w:jc w:val="both"/>
        <w:rPr>
          <w:rFonts w:ascii="Century Gothic" w:hAnsi="Century Gothic"/>
          <w:i/>
          <w:iCs/>
          <w:lang w:eastAsia="cs-CZ"/>
        </w:rPr>
      </w:pPr>
      <w:r w:rsidRPr="00E4426F">
        <w:rPr>
          <w:rFonts w:ascii="Century Gothic" w:hAnsi="Century Gothic"/>
          <w:i/>
          <w:iCs/>
          <w:lang w:eastAsia="cs-CZ"/>
        </w:rPr>
        <w:lastRenderedPageBreak/>
        <w:t>Bude-li se změna údajů týkat pouze popisných údajů (nikoliv prostorových) o objektech a zařízeních, údaje se předají prostřednictvím IS DMVS, popř. IS DTM ohlášením.</w:t>
      </w:r>
    </w:p>
    <w:p w14:paraId="76403B36" w14:textId="77777777" w:rsidR="005721C3" w:rsidRPr="00E4426F" w:rsidRDefault="005721C3" w:rsidP="005721C3">
      <w:pPr>
        <w:jc w:val="both"/>
        <w:rPr>
          <w:rFonts w:ascii="Century Gothic" w:hAnsi="Century Gothic"/>
          <w:b/>
          <w:bCs/>
          <w:u w:val="single"/>
        </w:rPr>
      </w:pPr>
      <w:r w:rsidRPr="001C3947">
        <w:rPr>
          <w:rFonts w:ascii="Century Gothic" w:hAnsi="Century Gothic"/>
          <w:b/>
          <w:bCs/>
          <w:highlight w:val="lightGray"/>
          <w:u w:val="single"/>
        </w:rPr>
        <w:t>Požadavek na kvalifikaci při vyhotovování podkladů pro vedení DTM:</w:t>
      </w:r>
    </w:p>
    <w:p w14:paraId="192C71B1" w14:textId="77777777" w:rsidR="007F1CE1" w:rsidRPr="00FE5236" w:rsidRDefault="007F1CE1" w:rsidP="00014708">
      <w:pPr>
        <w:jc w:val="both"/>
        <w:rPr>
          <w:rFonts w:ascii="Century Gothic" w:hAnsi="Century Gothic"/>
          <w:i/>
          <w:iCs/>
        </w:rPr>
      </w:pPr>
      <w:r w:rsidRPr="00FE5236">
        <w:rPr>
          <w:rFonts w:ascii="Century Gothic" w:hAnsi="Century Gothic"/>
          <w:i/>
          <w:iCs/>
        </w:rPr>
        <w:t xml:space="preserve">- dle ustanovení § 77 odst. 2 a) zákona prokáže účastník zadávacího řízení doložením dokladu oprávnění k podnikání v rozsahu odpovídajícím předmětu veřejné zakázky. Dokladem prokazujícím oprávnění k podnikání je zejména výpis z živnostenského rejstříku (§ 10 odst. 3 zák. č. 455/1991 Sb., o živnostenském podnikání v platném znění), v rozsahu odpovídajícímu předmětu plnění veřejné zakázky. Dodavatel </w:t>
      </w:r>
      <w:proofErr w:type="gramStart"/>
      <w:r w:rsidRPr="00FE5236">
        <w:rPr>
          <w:rFonts w:ascii="Century Gothic" w:hAnsi="Century Gothic"/>
          <w:i/>
          <w:iCs/>
        </w:rPr>
        <w:t>předloží</w:t>
      </w:r>
      <w:proofErr w:type="gramEnd"/>
      <w:r w:rsidRPr="00FE5236">
        <w:rPr>
          <w:rFonts w:ascii="Century Gothic" w:hAnsi="Century Gothic"/>
          <w:i/>
          <w:iCs/>
        </w:rPr>
        <w:t xml:space="preserve"> doklad o oprávnění k podnikání pro předmět podnikání: </w:t>
      </w:r>
      <w:r w:rsidRPr="00FE5236">
        <w:rPr>
          <w:rFonts w:ascii="Century Gothic" w:hAnsi="Century Gothic"/>
          <w:b/>
          <w:i/>
          <w:iCs/>
        </w:rPr>
        <w:t>Výkon zeměměřických činností</w:t>
      </w:r>
      <w:r w:rsidRPr="00FE5236">
        <w:rPr>
          <w:rFonts w:ascii="Century Gothic" w:hAnsi="Century Gothic"/>
          <w:i/>
          <w:iCs/>
        </w:rPr>
        <w:t xml:space="preserve">. </w:t>
      </w:r>
    </w:p>
    <w:p w14:paraId="59125C81" w14:textId="6F0C080C" w:rsidR="00D409B1" w:rsidRPr="00FE5236" w:rsidRDefault="007F1CE1" w:rsidP="00014708">
      <w:pPr>
        <w:jc w:val="both"/>
        <w:rPr>
          <w:rFonts w:ascii="Century Gothic" w:hAnsi="Century Gothic"/>
          <w:i/>
          <w:iCs/>
        </w:rPr>
      </w:pPr>
      <w:r w:rsidRPr="00FE5236">
        <w:rPr>
          <w:rFonts w:ascii="Century Gothic" w:hAnsi="Century Gothic"/>
          <w:i/>
          <w:iCs/>
        </w:rPr>
        <w:t xml:space="preserve">- dle ustanovení § 77 odst. 2 c) zákona prokáže účastník zadávacího řízení doložením dokladu, že je odborně způsobilý nebo disponuje osobou, jejímž prostřednictvím odbornou způsobilost zabezpečuje. Dodavatel jako doklad, že je odborně způsobilý nebo disponuje osobou, jejímž prostřednictvím odbornou způsobilost zabezpečuje, </w:t>
      </w:r>
      <w:proofErr w:type="gramStart"/>
      <w:r w:rsidRPr="00FE5236">
        <w:rPr>
          <w:rFonts w:ascii="Century Gothic" w:hAnsi="Century Gothic"/>
          <w:i/>
          <w:iCs/>
        </w:rPr>
        <w:t>předloží</w:t>
      </w:r>
      <w:proofErr w:type="gramEnd"/>
      <w:r w:rsidRPr="00FE5236">
        <w:rPr>
          <w:rFonts w:ascii="Century Gothic" w:hAnsi="Century Gothic"/>
          <w:i/>
          <w:iCs/>
        </w:rPr>
        <w:t xml:space="preserve">: </w:t>
      </w:r>
      <w:r w:rsidRPr="00FE5236">
        <w:rPr>
          <w:rFonts w:ascii="Century Gothic" w:hAnsi="Century Gothic"/>
          <w:b/>
          <w:i/>
          <w:iCs/>
        </w:rPr>
        <w:t>pravomocné Úřední oprávnění pro ověřování výsledků zeměměři</w:t>
      </w:r>
      <w:r w:rsidR="00AE2F51">
        <w:rPr>
          <w:rFonts w:ascii="Century Gothic" w:hAnsi="Century Gothic"/>
          <w:b/>
          <w:i/>
          <w:iCs/>
        </w:rPr>
        <w:t>c</w:t>
      </w:r>
      <w:r w:rsidRPr="00FE5236">
        <w:rPr>
          <w:rFonts w:ascii="Century Gothic" w:hAnsi="Century Gothic"/>
          <w:b/>
          <w:i/>
          <w:iCs/>
        </w:rPr>
        <w:t>kých činností udělené dle § 14 zákona č. 200/1994 Sb., o zeměměři</w:t>
      </w:r>
      <w:r w:rsidR="00AE2F51">
        <w:rPr>
          <w:rFonts w:ascii="Century Gothic" w:hAnsi="Century Gothic"/>
          <w:b/>
          <w:i/>
          <w:iCs/>
        </w:rPr>
        <w:t>c</w:t>
      </w:r>
      <w:r w:rsidRPr="00FE5236">
        <w:rPr>
          <w:rFonts w:ascii="Century Gothic" w:hAnsi="Century Gothic"/>
          <w:b/>
          <w:i/>
          <w:iCs/>
        </w:rPr>
        <w:t xml:space="preserve">tví </w:t>
      </w:r>
      <w:r w:rsidRPr="00FE5236">
        <w:rPr>
          <w:rFonts w:ascii="Century Gothic" w:hAnsi="Century Gothic"/>
          <w:i/>
          <w:iCs/>
        </w:rPr>
        <w:t>a o změně a doplnění některých zákonů souvisejících s jeho zavedením, ve znění pozdějších předpisů, s rozsahem uvedeným v ustanovení § 13 odst. 1 písm. c) zákona č. 200/1994 Sb.</w:t>
      </w:r>
    </w:p>
    <w:p w14:paraId="3073AC76" w14:textId="77777777" w:rsidR="00031506" w:rsidRDefault="00031506"/>
    <w:sectPr w:rsidR="00031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09D"/>
    <w:multiLevelType w:val="hybridMultilevel"/>
    <w:tmpl w:val="C91CC8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825731"/>
    <w:multiLevelType w:val="hybridMultilevel"/>
    <w:tmpl w:val="C91CC8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6A1536"/>
    <w:multiLevelType w:val="hybridMultilevel"/>
    <w:tmpl w:val="EE76E4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F53A2F"/>
    <w:multiLevelType w:val="hybridMultilevel"/>
    <w:tmpl w:val="AA667E8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30443633">
    <w:abstractNumId w:val="3"/>
  </w:num>
  <w:num w:numId="2" w16cid:durableId="222639474">
    <w:abstractNumId w:val="0"/>
  </w:num>
  <w:num w:numId="3" w16cid:durableId="1411385003">
    <w:abstractNumId w:val="2"/>
  </w:num>
  <w:num w:numId="4" w16cid:durableId="468203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9AC"/>
    <w:rsid w:val="00014708"/>
    <w:rsid w:val="0002364C"/>
    <w:rsid w:val="00031506"/>
    <w:rsid w:val="00074BCF"/>
    <w:rsid w:val="000E11AB"/>
    <w:rsid w:val="001C3947"/>
    <w:rsid w:val="002F77C7"/>
    <w:rsid w:val="003735BF"/>
    <w:rsid w:val="004605FF"/>
    <w:rsid w:val="005129AC"/>
    <w:rsid w:val="005721C3"/>
    <w:rsid w:val="006966E0"/>
    <w:rsid w:val="007431B9"/>
    <w:rsid w:val="007F1CE1"/>
    <w:rsid w:val="00835C95"/>
    <w:rsid w:val="008C1573"/>
    <w:rsid w:val="00AE2F51"/>
    <w:rsid w:val="00B3404E"/>
    <w:rsid w:val="00B571A6"/>
    <w:rsid w:val="00BF68C7"/>
    <w:rsid w:val="00D0541F"/>
    <w:rsid w:val="00D07183"/>
    <w:rsid w:val="00D2799D"/>
    <w:rsid w:val="00D409B1"/>
    <w:rsid w:val="00E4426F"/>
    <w:rsid w:val="00E634DC"/>
    <w:rsid w:val="00E76830"/>
    <w:rsid w:val="00F87511"/>
    <w:rsid w:val="00FE5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F04A"/>
  <w15:chartTrackingRefBased/>
  <w15:docId w15:val="{091687F6-6DF9-4EA9-8B42-355F2496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09B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rážky,Nad,List Paragraph,Odstavec cíl se seznamem,Odstavec se seznamem5,Odstavec_muj,NAKIT List Paragraph,Odstavec se seznamem a odrážkou,1 úroveň Odstavec se seznamem,List Paragraph (Czech Tourism),A-Odrážky1,Reference List"/>
    <w:basedOn w:val="Normln"/>
    <w:link w:val="OdstavecseseznamemChar"/>
    <w:uiPriority w:val="34"/>
    <w:qFormat/>
    <w:rsid w:val="00D409B1"/>
    <w:pPr>
      <w:ind w:left="720"/>
      <w:contextualSpacing/>
    </w:pPr>
  </w:style>
  <w:style w:type="character" w:customStyle="1" w:styleId="OdstavecseseznamemChar">
    <w:name w:val="Odstavec se seznamem Char"/>
    <w:aliases w:val="Odrážky Char,Nad Char,List Paragraph Char,Odstavec cíl se seznamem Char,Odstavec se seznamem5 Char,Odstavec_muj Char,NAKIT List Paragraph Char,Odstavec se seznamem a odrážkou Char,1 úroveň Odstavec se seznamem Char"/>
    <w:basedOn w:val="Standardnpsmoodstavce"/>
    <w:link w:val="Odstavecseseznamem"/>
    <w:uiPriority w:val="34"/>
    <w:qFormat/>
    <w:locked/>
    <w:rsid w:val="00D409B1"/>
  </w:style>
  <w:style w:type="paragraph" w:styleId="Textbubliny">
    <w:name w:val="Balloon Text"/>
    <w:basedOn w:val="Normln"/>
    <w:link w:val="TextbublinyChar"/>
    <w:uiPriority w:val="99"/>
    <w:semiHidden/>
    <w:unhideWhenUsed/>
    <w:rsid w:val="00E768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6830"/>
    <w:rPr>
      <w:rFonts w:ascii="Segoe UI" w:hAnsi="Segoe UI" w:cs="Segoe UI"/>
      <w:sz w:val="18"/>
      <w:szCs w:val="18"/>
    </w:rPr>
  </w:style>
  <w:style w:type="paragraph" w:styleId="Revize">
    <w:name w:val="Revision"/>
    <w:hidden/>
    <w:uiPriority w:val="99"/>
    <w:semiHidden/>
    <w:rsid w:val="00D0541F"/>
    <w:pPr>
      <w:spacing w:after="0" w:line="240" w:lineRule="auto"/>
    </w:pPr>
  </w:style>
  <w:style w:type="character" w:styleId="Odkaznakoment">
    <w:name w:val="annotation reference"/>
    <w:basedOn w:val="Standardnpsmoodstavce"/>
    <w:uiPriority w:val="99"/>
    <w:semiHidden/>
    <w:unhideWhenUsed/>
    <w:rsid w:val="00D07183"/>
    <w:rPr>
      <w:sz w:val="16"/>
      <w:szCs w:val="16"/>
    </w:rPr>
  </w:style>
  <w:style w:type="paragraph" w:styleId="Textkomente">
    <w:name w:val="annotation text"/>
    <w:basedOn w:val="Normln"/>
    <w:link w:val="TextkomenteChar"/>
    <w:uiPriority w:val="99"/>
    <w:unhideWhenUsed/>
    <w:rsid w:val="00D07183"/>
    <w:pPr>
      <w:spacing w:line="240" w:lineRule="auto"/>
    </w:pPr>
    <w:rPr>
      <w:sz w:val="20"/>
      <w:szCs w:val="20"/>
    </w:rPr>
  </w:style>
  <w:style w:type="character" w:customStyle="1" w:styleId="TextkomenteChar">
    <w:name w:val="Text komentáře Char"/>
    <w:basedOn w:val="Standardnpsmoodstavce"/>
    <w:link w:val="Textkomente"/>
    <w:uiPriority w:val="99"/>
    <w:rsid w:val="00D07183"/>
    <w:rPr>
      <w:sz w:val="20"/>
      <w:szCs w:val="20"/>
    </w:rPr>
  </w:style>
  <w:style w:type="paragraph" w:styleId="Pedmtkomente">
    <w:name w:val="annotation subject"/>
    <w:basedOn w:val="Textkomente"/>
    <w:next w:val="Textkomente"/>
    <w:link w:val="PedmtkomenteChar"/>
    <w:uiPriority w:val="99"/>
    <w:semiHidden/>
    <w:unhideWhenUsed/>
    <w:rsid w:val="00D07183"/>
    <w:rPr>
      <w:b/>
      <w:bCs/>
    </w:rPr>
  </w:style>
  <w:style w:type="character" w:customStyle="1" w:styleId="PedmtkomenteChar">
    <w:name w:val="Předmět komentáře Char"/>
    <w:basedOn w:val="TextkomenteChar"/>
    <w:link w:val="Pedmtkomente"/>
    <w:uiPriority w:val="99"/>
    <w:semiHidden/>
    <w:rsid w:val="00D071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822EA-9FEF-4305-AE6A-21D2A40F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665</Words>
  <Characters>3930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Peřina</dc:creator>
  <cp:keywords/>
  <dc:description/>
  <cp:lastModifiedBy>Krupičková Martina</cp:lastModifiedBy>
  <cp:revision>4</cp:revision>
  <dcterms:created xsi:type="dcterms:W3CDTF">2023-11-15T09:31:00Z</dcterms:created>
  <dcterms:modified xsi:type="dcterms:W3CDTF">2023-11-16T11:32:00Z</dcterms:modified>
</cp:coreProperties>
</file>